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0B2B" w14:textId="77777777" w:rsidR="004D6BBC" w:rsidRDefault="004D6BBC">
      <w:pPr>
        <w:rPr>
          <w:b/>
        </w:rPr>
      </w:pPr>
    </w:p>
    <w:p w14:paraId="442C2020" w14:textId="77777777" w:rsidR="004D6BBC" w:rsidRDefault="004D6BBC">
      <w:pPr>
        <w:rPr>
          <w:b/>
        </w:rPr>
      </w:pPr>
    </w:p>
    <w:p w14:paraId="6BD94B9B"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0A366D4D" w14:textId="77777777" w:rsidR="005B789E" w:rsidRPr="005B0982" w:rsidRDefault="00CE0E89">
      <w:pPr>
        <w:rPr>
          <w:rFonts w:ascii="Arial" w:hAnsi="Arial" w:cs="Arial"/>
        </w:rPr>
      </w:pPr>
      <w:r w:rsidRPr="005B0982">
        <w:rPr>
          <w:rFonts w:ascii="Arial" w:hAnsi="Arial" w:cs="Arial"/>
        </w:rPr>
        <w:t>RBI Music</w:t>
      </w:r>
    </w:p>
    <w:p w14:paraId="650BDD57"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13373F8E"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498DE21C" w14:textId="77777777" w:rsidR="005B789E" w:rsidRPr="00BA5614" w:rsidRDefault="005B789E">
      <w:pPr>
        <w:rPr>
          <w:rFonts w:ascii="Arial" w:hAnsi="Arial" w:cs="Arial"/>
        </w:rPr>
      </w:pPr>
    </w:p>
    <w:p w14:paraId="513C5D62" w14:textId="77777777" w:rsidR="009E5322" w:rsidRPr="009E5322" w:rsidRDefault="009E5322" w:rsidP="009E5322">
      <w:pPr>
        <w:rPr>
          <w:rFonts w:ascii="Arial" w:hAnsi="Arial" w:cs="Arial"/>
          <w:b/>
          <w:bCs/>
        </w:rPr>
      </w:pPr>
      <w:r w:rsidRPr="009E5322">
        <w:rPr>
          <w:rFonts w:ascii="Arial" w:hAnsi="Arial" w:cs="Arial"/>
          <w:b/>
          <w:bCs/>
        </w:rPr>
        <w:t>Toca Percussion Introduces the All-New Conga Accessory Mount</w:t>
      </w:r>
    </w:p>
    <w:p w14:paraId="13D76B78" w14:textId="77777777" w:rsidR="009E5322" w:rsidRPr="009E5322" w:rsidRDefault="009E5322" w:rsidP="009E5322">
      <w:pPr>
        <w:rPr>
          <w:rFonts w:ascii="Arial" w:hAnsi="Arial" w:cs="Arial"/>
          <w:b/>
          <w:bCs/>
        </w:rPr>
      </w:pPr>
      <w:r w:rsidRPr="009E5322">
        <w:rPr>
          <w:rFonts w:ascii="Arial" w:hAnsi="Arial" w:cs="Arial"/>
          <w:b/>
          <w:bCs/>
          <w:i/>
          <w:iCs/>
        </w:rPr>
        <w:t>“Why should timbale players have all the fun?”</w:t>
      </w:r>
    </w:p>
    <w:p w14:paraId="63281680" w14:textId="473CD3AE" w:rsidR="00BA5614" w:rsidRDefault="007362D7" w:rsidP="008F20E4">
      <w:pPr>
        <w:rPr>
          <w:b/>
          <w:bCs/>
          <w:sz w:val="22"/>
          <w:szCs w:val="22"/>
        </w:rPr>
      </w:pPr>
      <w:r>
        <w:rPr>
          <w:rFonts w:ascii="Arial" w:hAnsi="Arial" w:cs="Arial"/>
          <w:b/>
          <w:bCs/>
        </w:rPr>
        <w:br/>
      </w:r>
    </w:p>
    <w:p w14:paraId="3FCD1F07" w14:textId="03919B8C" w:rsidR="005A555A" w:rsidRPr="005A555A" w:rsidRDefault="009220C0" w:rsidP="005A555A">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4B4424F1" wp14:editId="45ABF4C2">
            <wp:simplePos x="0" y="0"/>
            <wp:positionH relativeFrom="margin">
              <wp:posOffset>25400</wp:posOffset>
            </wp:positionH>
            <wp:positionV relativeFrom="margin">
              <wp:posOffset>1945005</wp:posOffset>
            </wp:positionV>
            <wp:extent cx="1196975" cy="1905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196975" cy="1905000"/>
                    </a:xfrm>
                    <a:prstGeom prst="rect">
                      <a:avLst/>
                    </a:prstGeom>
                  </pic:spPr>
                </pic:pic>
              </a:graphicData>
            </a:graphic>
            <wp14:sizeRelH relativeFrom="margin">
              <wp14:pctWidth>0</wp14:pctWidth>
            </wp14:sizeRelH>
            <wp14:sizeRelV relativeFrom="margin">
              <wp14:pctHeight>0</wp14:pctHeight>
            </wp14:sizeRelV>
          </wp:anchor>
        </w:drawing>
      </w:r>
      <w:r w:rsidR="00BA5614" w:rsidRPr="00BA5614">
        <w:rPr>
          <w:rFonts w:ascii="Arial" w:eastAsiaTheme="minorEastAsia" w:hAnsi="Arial"/>
          <w:bCs/>
          <w:noProof/>
          <w:sz w:val="22"/>
          <w:szCs w:val="22"/>
        </w:rPr>
        <w:t>T</w:t>
      </w:r>
      <w:r w:rsidR="008605E4">
        <w:rPr>
          <w:rFonts w:ascii="Arial" w:hAnsi="Arial"/>
          <w:bCs/>
          <w:noProof/>
          <w:sz w:val="22"/>
          <w:szCs w:val="22"/>
        </w:rPr>
        <w:t xml:space="preserve">oca </w:t>
      </w:r>
      <w:r w:rsidR="005A555A" w:rsidRPr="005A555A">
        <w:rPr>
          <w:rFonts w:ascii="Arial" w:hAnsi="Arial"/>
          <w:bCs/>
          <w:noProof/>
          <w:sz w:val="22"/>
          <w:szCs w:val="22"/>
        </w:rPr>
        <w:t xml:space="preserve">announces the release of the new </w:t>
      </w:r>
      <w:bookmarkStart w:id="0" w:name="_Hlk219552219"/>
      <w:r w:rsidR="005A555A" w:rsidRPr="005A555A">
        <w:rPr>
          <w:rFonts w:ascii="Arial" w:hAnsi="Arial"/>
          <w:b/>
          <w:bCs/>
          <w:noProof/>
          <w:sz w:val="22"/>
          <w:szCs w:val="22"/>
        </w:rPr>
        <w:t>Toca Conga Accessory Mount</w:t>
      </w:r>
      <w:r w:rsidR="005A555A" w:rsidRPr="005A555A">
        <w:rPr>
          <w:rFonts w:ascii="Arial" w:hAnsi="Arial"/>
          <w:bCs/>
          <w:noProof/>
          <w:sz w:val="22"/>
          <w:szCs w:val="22"/>
        </w:rPr>
        <w:t>, a long-awaited solution for conga players who want to expand their setup with the same ease and flexibility that timbale players have enjoyed for decades. Modeled after the accessory post found on traditional timbale stands, this innovative mount brings that familiar functionality to any double conga stand, giving conga players unprecedented freedom to incorporate additional sounds seamlessly into their performance.</w:t>
      </w:r>
    </w:p>
    <w:p w14:paraId="3B2C190C" w14:textId="77777777" w:rsidR="005A555A" w:rsidRPr="005A555A" w:rsidRDefault="005A555A" w:rsidP="005A555A">
      <w:pPr>
        <w:rPr>
          <w:rFonts w:ascii="Arial" w:hAnsi="Arial"/>
          <w:bCs/>
          <w:noProof/>
          <w:sz w:val="22"/>
          <w:szCs w:val="22"/>
        </w:rPr>
      </w:pPr>
    </w:p>
    <w:p w14:paraId="25C9C278" w14:textId="77777777" w:rsidR="005A555A" w:rsidRPr="005A555A" w:rsidRDefault="005A555A" w:rsidP="005A555A">
      <w:pPr>
        <w:rPr>
          <w:rFonts w:ascii="Arial" w:hAnsi="Arial"/>
          <w:bCs/>
          <w:noProof/>
          <w:sz w:val="22"/>
          <w:szCs w:val="22"/>
        </w:rPr>
      </w:pPr>
      <w:r w:rsidRPr="005A555A">
        <w:rPr>
          <w:rFonts w:ascii="Arial" w:hAnsi="Arial"/>
          <w:bCs/>
          <w:noProof/>
          <w:sz w:val="22"/>
          <w:szCs w:val="22"/>
        </w:rPr>
        <w:t>The mount attaches directly to the center post of any standard double conga stand, including Toca’s Heavy-Duty Double Conga Stand. Once installed, the forward-reaching arm and upright knurled rod allow players to attach cowbells, blocks, and other percussion accessories that clamp to a knurled post. Until now, conga players had to rely on inconvenient percussion trays, complicated mic-stand rigs, or single-item rim clamps that limited creativity and added unnecessary clutter. The Toca Conga Accessory Mount eliminates all of these issues by offering a clean, stable, professional mounting solution that supports multiple accessories at once.</w:t>
      </w:r>
    </w:p>
    <w:p w14:paraId="483638A8" w14:textId="77777777" w:rsidR="005A555A" w:rsidRPr="005A555A" w:rsidRDefault="005A555A" w:rsidP="005A555A">
      <w:pPr>
        <w:rPr>
          <w:rFonts w:ascii="Arial" w:hAnsi="Arial"/>
          <w:bCs/>
          <w:noProof/>
          <w:sz w:val="22"/>
          <w:szCs w:val="22"/>
        </w:rPr>
      </w:pPr>
    </w:p>
    <w:p w14:paraId="63284E4F" w14:textId="13012D68" w:rsidR="005A555A" w:rsidRPr="005A555A" w:rsidRDefault="005A555A" w:rsidP="005A555A">
      <w:pPr>
        <w:rPr>
          <w:rFonts w:ascii="Arial" w:hAnsi="Arial"/>
          <w:bCs/>
          <w:noProof/>
          <w:sz w:val="22"/>
          <w:szCs w:val="22"/>
        </w:rPr>
      </w:pPr>
      <w:r w:rsidRPr="005A555A">
        <w:rPr>
          <w:rFonts w:ascii="Arial" w:hAnsi="Arial"/>
          <w:bCs/>
          <w:noProof/>
          <w:sz w:val="22"/>
          <w:szCs w:val="22"/>
        </w:rPr>
        <w:t xml:space="preserve">“Congueros deserve the same flexibility and fun that timbale players have enjoyed for years,” said </w:t>
      </w:r>
      <w:r w:rsidR="00FC5BB8">
        <w:rPr>
          <w:rFonts w:ascii="Arial" w:hAnsi="Arial"/>
          <w:bCs/>
          <w:noProof/>
          <w:sz w:val="22"/>
          <w:szCs w:val="22"/>
        </w:rPr>
        <w:t>Jim Rockwell, Head of Toca Product Development</w:t>
      </w:r>
      <w:r w:rsidRPr="005A555A">
        <w:rPr>
          <w:rFonts w:ascii="Arial" w:hAnsi="Arial"/>
          <w:bCs/>
          <w:noProof/>
          <w:sz w:val="22"/>
          <w:szCs w:val="22"/>
        </w:rPr>
        <w:t>. “This mount gives them instant access to bells, blocks, and any other add-ons they want, right where they need them—without breaking their flow or interrupting the groove.”</w:t>
      </w:r>
    </w:p>
    <w:p w14:paraId="1C511F44" w14:textId="77777777" w:rsidR="005A555A" w:rsidRPr="005A555A" w:rsidRDefault="005A555A" w:rsidP="005A555A">
      <w:pPr>
        <w:rPr>
          <w:rFonts w:ascii="Arial" w:hAnsi="Arial"/>
          <w:bCs/>
          <w:noProof/>
          <w:sz w:val="22"/>
          <w:szCs w:val="22"/>
        </w:rPr>
      </w:pPr>
    </w:p>
    <w:p w14:paraId="6F294320" w14:textId="77777777" w:rsidR="005A555A" w:rsidRPr="005A555A" w:rsidRDefault="005A555A" w:rsidP="005A555A">
      <w:pPr>
        <w:rPr>
          <w:rFonts w:ascii="Arial" w:hAnsi="Arial"/>
          <w:bCs/>
          <w:noProof/>
          <w:sz w:val="22"/>
          <w:szCs w:val="22"/>
        </w:rPr>
      </w:pPr>
      <w:r w:rsidRPr="005A555A">
        <w:rPr>
          <w:rFonts w:ascii="Arial" w:hAnsi="Arial"/>
          <w:bCs/>
          <w:noProof/>
          <w:sz w:val="22"/>
          <w:szCs w:val="22"/>
        </w:rPr>
        <w:t>Durable, practical, and designed for real-world gigging, the Toca Conga Accessory Mount opens the door to new sonic textures and performance possibilities. With this release, Toca reinforces its ongoing commitment to giving percussionists the tools they need to express themselves fully—and to do it with confidence, convenience, and style.</w:t>
      </w:r>
    </w:p>
    <w:bookmarkEnd w:id="0"/>
    <w:p w14:paraId="2872C2CC" w14:textId="1D011126" w:rsidR="00D3417C" w:rsidRPr="0011298A" w:rsidRDefault="00D3417C" w:rsidP="005A555A">
      <w:pPr>
        <w:rPr>
          <w:bCs/>
          <w:sz w:val="22"/>
          <w:szCs w:val="22"/>
        </w:rPr>
      </w:pPr>
    </w:p>
    <w:p w14:paraId="55A7DA1C" w14:textId="1B20B6F0" w:rsidR="001F6538" w:rsidRPr="005B0982" w:rsidRDefault="00F2753A" w:rsidP="007806A6">
      <w:pPr>
        <w:tabs>
          <w:tab w:val="left" w:pos="3800"/>
        </w:tabs>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r w:rsidR="007806A6">
        <w:rPr>
          <w:rFonts w:ascii="Arial" w:hAnsi="Arial" w:cs="Arial"/>
          <w:bCs/>
          <w:sz w:val="22"/>
          <w:szCs w:val="22"/>
        </w:rPr>
        <w:tab/>
      </w:r>
    </w:p>
    <w:p w14:paraId="23674162" w14:textId="77777777" w:rsidR="00B42957" w:rsidRPr="005B0982" w:rsidRDefault="003D1B22" w:rsidP="00EB35E2">
      <w:pPr>
        <w:rPr>
          <w:rFonts w:ascii="Arial" w:hAnsi="Arial" w:cs="Arial"/>
          <w:sz w:val="22"/>
          <w:szCs w:val="22"/>
        </w:rPr>
      </w:pPr>
      <w:r w:rsidRPr="005B0982">
        <w:rPr>
          <w:rFonts w:ascii="Arial" w:hAnsi="Arial" w:cs="Arial"/>
          <w:sz w:val="22"/>
          <w:szCs w:val="22"/>
        </w:rPr>
        <w:t>rbimusic.com</w:t>
      </w:r>
    </w:p>
    <w:sectPr w:rsidR="00B42957" w:rsidRPr="005B0982"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E814" w14:textId="77777777" w:rsidR="00E2645B" w:rsidRDefault="00E2645B" w:rsidP="005B789E">
      <w:r>
        <w:separator/>
      </w:r>
    </w:p>
  </w:endnote>
  <w:endnote w:type="continuationSeparator" w:id="0">
    <w:p w14:paraId="4696877C" w14:textId="77777777" w:rsidR="00E2645B" w:rsidRDefault="00E2645B" w:rsidP="005B789E">
      <w:r>
        <w:continuationSeparator/>
      </w:r>
    </w:p>
  </w:endnote>
  <w:endnote w:type="continuationNotice" w:id="1">
    <w:p w14:paraId="68EAF290" w14:textId="77777777" w:rsidR="00E2645B" w:rsidRDefault="00E26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F089" w14:textId="77777777" w:rsidR="00CE0E89" w:rsidRDefault="00CE0E89" w:rsidP="00346A1C">
    <w:pPr>
      <w:pStyle w:val="Footer"/>
      <w:jc w:val="center"/>
    </w:pPr>
    <w:r>
      <w:rPr>
        <w:noProof/>
        <w:lang w:eastAsia="en-US"/>
      </w:rPr>
      <w:drawing>
        <wp:inline distT="0" distB="0" distL="0" distR="0" wp14:anchorId="5DDD6437" wp14:editId="115A8A8B">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2AE661CE"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6342F1DB"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6F49" w14:textId="77777777" w:rsidR="00E2645B" w:rsidRDefault="00E2645B" w:rsidP="005B789E">
      <w:r>
        <w:separator/>
      </w:r>
    </w:p>
  </w:footnote>
  <w:footnote w:type="continuationSeparator" w:id="0">
    <w:p w14:paraId="53197E37" w14:textId="77777777" w:rsidR="00E2645B" w:rsidRDefault="00E2645B" w:rsidP="005B789E">
      <w:r>
        <w:continuationSeparator/>
      </w:r>
    </w:p>
  </w:footnote>
  <w:footnote w:type="continuationNotice" w:id="1">
    <w:p w14:paraId="2A3D6571" w14:textId="77777777" w:rsidR="00E2645B" w:rsidRDefault="00E264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00CC" w14:textId="77777777" w:rsidR="00CE0E89" w:rsidRDefault="00CE0E89" w:rsidP="00EA0D44">
    <w:pPr>
      <w:pStyle w:val="Header"/>
      <w:jc w:val="center"/>
    </w:pPr>
    <w:r>
      <w:rPr>
        <w:noProof/>
        <w:lang w:eastAsia="en-US"/>
      </w:rPr>
      <w:drawing>
        <wp:inline distT="0" distB="0" distL="0" distR="0" wp14:anchorId="463F3212" wp14:editId="0170C25F">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9D"/>
    <w:rsid w:val="00017AD8"/>
    <w:rsid w:val="00040EDC"/>
    <w:rsid w:val="000425BA"/>
    <w:rsid w:val="00043C02"/>
    <w:rsid w:val="00061FB0"/>
    <w:rsid w:val="00067333"/>
    <w:rsid w:val="00076302"/>
    <w:rsid w:val="00082420"/>
    <w:rsid w:val="000907D3"/>
    <w:rsid w:val="000945FB"/>
    <w:rsid w:val="000A6343"/>
    <w:rsid w:val="000B63B4"/>
    <w:rsid w:val="000B6CA7"/>
    <w:rsid w:val="000D1D8D"/>
    <w:rsid w:val="000D1FF7"/>
    <w:rsid w:val="0011298A"/>
    <w:rsid w:val="00142D48"/>
    <w:rsid w:val="001446D1"/>
    <w:rsid w:val="00156348"/>
    <w:rsid w:val="00177B2E"/>
    <w:rsid w:val="0019093D"/>
    <w:rsid w:val="001A1933"/>
    <w:rsid w:val="001A7B68"/>
    <w:rsid w:val="001B7E88"/>
    <w:rsid w:val="001C0082"/>
    <w:rsid w:val="001D0CC4"/>
    <w:rsid w:val="001D0E1D"/>
    <w:rsid w:val="001E0AB4"/>
    <w:rsid w:val="001F1DEC"/>
    <w:rsid w:val="001F6538"/>
    <w:rsid w:val="001F70A7"/>
    <w:rsid w:val="0020610E"/>
    <w:rsid w:val="00206CF1"/>
    <w:rsid w:val="00210C64"/>
    <w:rsid w:val="00263E21"/>
    <w:rsid w:val="002A71D8"/>
    <w:rsid w:val="002D2B97"/>
    <w:rsid w:val="002D49BA"/>
    <w:rsid w:val="00314DD2"/>
    <w:rsid w:val="00322414"/>
    <w:rsid w:val="00323F66"/>
    <w:rsid w:val="003244C1"/>
    <w:rsid w:val="00346A1C"/>
    <w:rsid w:val="00385552"/>
    <w:rsid w:val="003865AB"/>
    <w:rsid w:val="003C3981"/>
    <w:rsid w:val="003C43BA"/>
    <w:rsid w:val="003D1B22"/>
    <w:rsid w:val="003D30D7"/>
    <w:rsid w:val="0044349C"/>
    <w:rsid w:val="00463EDF"/>
    <w:rsid w:val="00486960"/>
    <w:rsid w:val="00492191"/>
    <w:rsid w:val="004930BD"/>
    <w:rsid w:val="004A2246"/>
    <w:rsid w:val="004A49F3"/>
    <w:rsid w:val="004B5C94"/>
    <w:rsid w:val="004C0B26"/>
    <w:rsid w:val="004D0C35"/>
    <w:rsid w:val="004D22F1"/>
    <w:rsid w:val="004D6BBC"/>
    <w:rsid w:val="004F3ADB"/>
    <w:rsid w:val="004F6AC8"/>
    <w:rsid w:val="004F7FF6"/>
    <w:rsid w:val="005234CD"/>
    <w:rsid w:val="00530076"/>
    <w:rsid w:val="00530A90"/>
    <w:rsid w:val="00530F02"/>
    <w:rsid w:val="00585767"/>
    <w:rsid w:val="005A234D"/>
    <w:rsid w:val="005A528F"/>
    <w:rsid w:val="005A555A"/>
    <w:rsid w:val="005B0982"/>
    <w:rsid w:val="005B3A2A"/>
    <w:rsid w:val="005B789E"/>
    <w:rsid w:val="005C07FF"/>
    <w:rsid w:val="005D148B"/>
    <w:rsid w:val="005E6ED4"/>
    <w:rsid w:val="005F303E"/>
    <w:rsid w:val="005F3F85"/>
    <w:rsid w:val="00615B62"/>
    <w:rsid w:val="0063499D"/>
    <w:rsid w:val="006453C0"/>
    <w:rsid w:val="00652F4F"/>
    <w:rsid w:val="006D1190"/>
    <w:rsid w:val="006E1DA1"/>
    <w:rsid w:val="006F0C1C"/>
    <w:rsid w:val="00715061"/>
    <w:rsid w:val="007362D7"/>
    <w:rsid w:val="007412A0"/>
    <w:rsid w:val="00744B7D"/>
    <w:rsid w:val="007806A6"/>
    <w:rsid w:val="007A3C5D"/>
    <w:rsid w:val="007C35ED"/>
    <w:rsid w:val="007D7DCE"/>
    <w:rsid w:val="007E6588"/>
    <w:rsid w:val="007F76A6"/>
    <w:rsid w:val="008419FE"/>
    <w:rsid w:val="0084742B"/>
    <w:rsid w:val="008605E4"/>
    <w:rsid w:val="00861691"/>
    <w:rsid w:val="00866DAE"/>
    <w:rsid w:val="00875566"/>
    <w:rsid w:val="008B4C73"/>
    <w:rsid w:val="008D0633"/>
    <w:rsid w:val="008D4420"/>
    <w:rsid w:val="008F20E4"/>
    <w:rsid w:val="0091558F"/>
    <w:rsid w:val="009220C0"/>
    <w:rsid w:val="00951925"/>
    <w:rsid w:val="00965080"/>
    <w:rsid w:val="00971DBA"/>
    <w:rsid w:val="00992CA1"/>
    <w:rsid w:val="009A3707"/>
    <w:rsid w:val="009B6C4E"/>
    <w:rsid w:val="009D2B3D"/>
    <w:rsid w:val="009D532A"/>
    <w:rsid w:val="009E5322"/>
    <w:rsid w:val="009F75B1"/>
    <w:rsid w:val="00A05E14"/>
    <w:rsid w:val="00A421C4"/>
    <w:rsid w:val="00A516BE"/>
    <w:rsid w:val="00A536B9"/>
    <w:rsid w:val="00A60B29"/>
    <w:rsid w:val="00A65803"/>
    <w:rsid w:val="00A77B0B"/>
    <w:rsid w:val="00A80F97"/>
    <w:rsid w:val="00B16C60"/>
    <w:rsid w:val="00B218C1"/>
    <w:rsid w:val="00B301DE"/>
    <w:rsid w:val="00B42957"/>
    <w:rsid w:val="00B4461D"/>
    <w:rsid w:val="00B5109B"/>
    <w:rsid w:val="00B63361"/>
    <w:rsid w:val="00B72AEE"/>
    <w:rsid w:val="00B86F11"/>
    <w:rsid w:val="00BA388A"/>
    <w:rsid w:val="00BA4A9C"/>
    <w:rsid w:val="00BA5614"/>
    <w:rsid w:val="00BC373E"/>
    <w:rsid w:val="00BC4C4D"/>
    <w:rsid w:val="00BE0446"/>
    <w:rsid w:val="00BE05EA"/>
    <w:rsid w:val="00C03921"/>
    <w:rsid w:val="00C21470"/>
    <w:rsid w:val="00C3741D"/>
    <w:rsid w:val="00C376C1"/>
    <w:rsid w:val="00C46DE9"/>
    <w:rsid w:val="00C50C6E"/>
    <w:rsid w:val="00C56D1B"/>
    <w:rsid w:val="00C5716A"/>
    <w:rsid w:val="00C83ECE"/>
    <w:rsid w:val="00C848E5"/>
    <w:rsid w:val="00C8569D"/>
    <w:rsid w:val="00C90AC8"/>
    <w:rsid w:val="00CB5B9B"/>
    <w:rsid w:val="00CE0E89"/>
    <w:rsid w:val="00D005A9"/>
    <w:rsid w:val="00D21F19"/>
    <w:rsid w:val="00D306B4"/>
    <w:rsid w:val="00D3262D"/>
    <w:rsid w:val="00D3417C"/>
    <w:rsid w:val="00D57904"/>
    <w:rsid w:val="00D774AD"/>
    <w:rsid w:val="00D8468D"/>
    <w:rsid w:val="00D879BF"/>
    <w:rsid w:val="00DF2879"/>
    <w:rsid w:val="00DF2F98"/>
    <w:rsid w:val="00DF5BCC"/>
    <w:rsid w:val="00E008DD"/>
    <w:rsid w:val="00E042F6"/>
    <w:rsid w:val="00E13393"/>
    <w:rsid w:val="00E23315"/>
    <w:rsid w:val="00E2645B"/>
    <w:rsid w:val="00E27FA8"/>
    <w:rsid w:val="00E7234E"/>
    <w:rsid w:val="00E83157"/>
    <w:rsid w:val="00E83E97"/>
    <w:rsid w:val="00E84135"/>
    <w:rsid w:val="00EA0D44"/>
    <w:rsid w:val="00EB35E2"/>
    <w:rsid w:val="00EB43A1"/>
    <w:rsid w:val="00EE5890"/>
    <w:rsid w:val="00EF1F51"/>
    <w:rsid w:val="00F2181C"/>
    <w:rsid w:val="00F23DE2"/>
    <w:rsid w:val="00F2753A"/>
    <w:rsid w:val="00F37F39"/>
    <w:rsid w:val="00F5068E"/>
    <w:rsid w:val="00F70E96"/>
    <w:rsid w:val="00F72F6E"/>
    <w:rsid w:val="00F730F5"/>
    <w:rsid w:val="00F902DE"/>
    <w:rsid w:val="00F93302"/>
    <w:rsid w:val="00FA33F1"/>
    <w:rsid w:val="00FA36A1"/>
    <w:rsid w:val="00FB5C2A"/>
    <w:rsid w:val="00FC0AD2"/>
    <w:rsid w:val="00FC5BB8"/>
    <w:rsid w:val="00FD579D"/>
    <w:rsid w:val="00FD7A60"/>
    <w:rsid w:val="00FE1639"/>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8A224"/>
  <w14:defaultImageDpi w14:val="300"/>
  <w15:docId w15:val="{4DB7BE74-03F6-5244-8137-9207B2F9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5E4"/>
    <w:rPr>
      <w:rFonts w:ascii="Times New Roman" w:eastAsia="Times New Roman" w:hAnsi="Times New Roman"/>
      <w:lang w:eastAsia="en-US"/>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27708767">
      <w:bodyDiv w:val="1"/>
      <w:marLeft w:val="0"/>
      <w:marRight w:val="0"/>
      <w:marTop w:val="0"/>
      <w:marBottom w:val="0"/>
      <w:divBdr>
        <w:top w:val="none" w:sz="0" w:space="0" w:color="auto"/>
        <w:left w:val="none" w:sz="0" w:space="0" w:color="auto"/>
        <w:bottom w:val="none" w:sz="0" w:space="0" w:color="auto"/>
        <w:right w:val="none" w:sz="0" w:space="0" w:color="auto"/>
      </w:divBdr>
      <w:divsChild>
        <w:div w:id="1186752612">
          <w:marLeft w:val="0"/>
          <w:marRight w:val="0"/>
          <w:marTop w:val="0"/>
          <w:marBottom w:val="0"/>
          <w:divBdr>
            <w:top w:val="single" w:sz="2" w:space="0" w:color="D9D9E3"/>
            <w:left w:val="single" w:sz="2" w:space="0" w:color="D9D9E3"/>
            <w:bottom w:val="single" w:sz="2" w:space="0" w:color="D9D9E3"/>
            <w:right w:val="single" w:sz="2" w:space="0" w:color="D9D9E3"/>
          </w:divBdr>
          <w:divsChild>
            <w:div w:id="336615068">
              <w:marLeft w:val="0"/>
              <w:marRight w:val="0"/>
              <w:marTop w:val="0"/>
              <w:marBottom w:val="0"/>
              <w:divBdr>
                <w:top w:val="single" w:sz="2" w:space="0" w:color="D9D9E3"/>
                <w:left w:val="single" w:sz="2" w:space="0" w:color="D9D9E3"/>
                <w:bottom w:val="single" w:sz="2" w:space="0" w:color="D9D9E3"/>
                <w:right w:val="single" w:sz="2" w:space="0" w:color="D9D9E3"/>
              </w:divBdr>
              <w:divsChild>
                <w:div w:id="441533922">
                  <w:marLeft w:val="0"/>
                  <w:marRight w:val="0"/>
                  <w:marTop w:val="0"/>
                  <w:marBottom w:val="0"/>
                  <w:divBdr>
                    <w:top w:val="single" w:sz="2" w:space="0" w:color="D9D9E3"/>
                    <w:left w:val="single" w:sz="2" w:space="0" w:color="D9D9E3"/>
                    <w:bottom w:val="single" w:sz="2" w:space="0" w:color="D9D9E3"/>
                    <w:right w:val="single" w:sz="2" w:space="0" w:color="D9D9E3"/>
                  </w:divBdr>
                  <w:divsChild>
                    <w:div w:id="630282760">
                      <w:marLeft w:val="0"/>
                      <w:marRight w:val="0"/>
                      <w:marTop w:val="0"/>
                      <w:marBottom w:val="0"/>
                      <w:divBdr>
                        <w:top w:val="single" w:sz="2" w:space="0" w:color="D9D9E3"/>
                        <w:left w:val="single" w:sz="2" w:space="0" w:color="D9D9E3"/>
                        <w:bottom w:val="single" w:sz="2" w:space="0" w:color="D9D9E3"/>
                        <w:right w:val="single" w:sz="2" w:space="0" w:color="D9D9E3"/>
                      </w:divBdr>
                      <w:divsChild>
                        <w:div w:id="153110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46402043">
          <w:marLeft w:val="0"/>
          <w:marRight w:val="0"/>
          <w:marTop w:val="0"/>
          <w:marBottom w:val="0"/>
          <w:divBdr>
            <w:top w:val="single" w:sz="2" w:space="0" w:color="D9D9E3"/>
            <w:left w:val="single" w:sz="2" w:space="0" w:color="D9D9E3"/>
            <w:bottom w:val="single" w:sz="2" w:space="0" w:color="D9D9E3"/>
            <w:right w:val="single" w:sz="2" w:space="0" w:color="D9D9E3"/>
          </w:divBdr>
          <w:divsChild>
            <w:div w:id="2105876087">
              <w:marLeft w:val="0"/>
              <w:marRight w:val="0"/>
              <w:marTop w:val="0"/>
              <w:marBottom w:val="0"/>
              <w:divBdr>
                <w:top w:val="single" w:sz="2" w:space="0" w:color="D9D9E3"/>
                <w:left w:val="single" w:sz="2" w:space="0" w:color="D9D9E3"/>
                <w:bottom w:val="single" w:sz="2" w:space="0" w:color="D9D9E3"/>
                <w:right w:val="single" w:sz="2" w:space="0" w:color="D9D9E3"/>
              </w:divBdr>
              <w:divsChild>
                <w:div w:id="484708630">
                  <w:marLeft w:val="0"/>
                  <w:marRight w:val="0"/>
                  <w:marTop w:val="0"/>
                  <w:marBottom w:val="0"/>
                  <w:divBdr>
                    <w:top w:val="single" w:sz="2" w:space="0" w:color="D9D9E3"/>
                    <w:left w:val="single" w:sz="2" w:space="0" w:color="D9D9E3"/>
                    <w:bottom w:val="single" w:sz="2" w:space="0" w:color="D9D9E3"/>
                    <w:right w:val="single" w:sz="2" w:space="0" w:color="D9D9E3"/>
                  </w:divBdr>
                  <w:divsChild>
                    <w:div w:id="1598706331">
                      <w:marLeft w:val="0"/>
                      <w:marRight w:val="0"/>
                      <w:marTop w:val="0"/>
                      <w:marBottom w:val="0"/>
                      <w:divBdr>
                        <w:top w:val="single" w:sz="2" w:space="0" w:color="D9D9E3"/>
                        <w:left w:val="single" w:sz="2" w:space="0" w:color="D9D9E3"/>
                        <w:bottom w:val="single" w:sz="2" w:space="0" w:color="D9D9E3"/>
                        <w:right w:val="single" w:sz="2" w:space="0" w:color="D9D9E3"/>
                      </w:divBdr>
                      <w:divsChild>
                        <w:div w:id="16973426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649285">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06852109">
      <w:bodyDiv w:val="1"/>
      <w:marLeft w:val="0"/>
      <w:marRight w:val="0"/>
      <w:marTop w:val="0"/>
      <w:marBottom w:val="0"/>
      <w:divBdr>
        <w:top w:val="none" w:sz="0" w:space="0" w:color="auto"/>
        <w:left w:val="none" w:sz="0" w:space="0" w:color="auto"/>
        <w:bottom w:val="none" w:sz="0" w:space="0" w:color="auto"/>
        <w:right w:val="none" w:sz="0" w:space="0" w:color="auto"/>
      </w:divBdr>
      <w:divsChild>
        <w:div w:id="745347276">
          <w:marLeft w:val="0"/>
          <w:marRight w:val="0"/>
          <w:marTop w:val="0"/>
          <w:marBottom w:val="0"/>
          <w:divBdr>
            <w:top w:val="none" w:sz="0" w:space="0" w:color="auto"/>
            <w:left w:val="none" w:sz="0" w:space="0" w:color="auto"/>
            <w:bottom w:val="none" w:sz="0" w:space="0" w:color="auto"/>
            <w:right w:val="none" w:sz="0" w:space="0" w:color="auto"/>
          </w:divBdr>
          <w:divsChild>
            <w:div w:id="1007902267">
              <w:marLeft w:val="0"/>
              <w:marRight w:val="0"/>
              <w:marTop w:val="0"/>
              <w:marBottom w:val="0"/>
              <w:divBdr>
                <w:top w:val="none" w:sz="0" w:space="0" w:color="auto"/>
                <w:left w:val="none" w:sz="0" w:space="0" w:color="auto"/>
                <w:bottom w:val="none" w:sz="0" w:space="0" w:color="auto"/>
                <w:right w:val="none" w:sz="0" w:space="0" w:color="auto"/>
              </w:divBdr>
              <w:divsChild>
                <w:div w:id="5249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7e0b990451c38257362c3d85b292cce0">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fdb6e926052982c59a1386cbea28e231"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2KDQWWA6M2HZ-1797715284-147579</_dlc_DocId>
    <_dlc_DocIdUrl xmlns="ee5a2d30-1b69-4bbc-a828-cff1e13813d4">
      <Url>https://rhythmband.sharepoint.com/sites/RBIProductMediaLibrary/_layouts/15/DocIdRedir.aspx?ID=2KDQWWA6M2HZ-1797715284-147579</Url>
      <Description>2KDQWWA6M2HZ-1797715284-147579</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7BCC6C-73D1-4FFB-A63A-47C239643636}"/>
</file>

<file path=customXml/itemProps2.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3.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4.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298</Words>
  <Characters>1765</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8</cp:revision>
  <cp:lastPrinted>2020-12-22T21:08:00Z</cp:lastPrinted>
  <dcterms:created xsi:type="dcterms:W3CDTF">2025-11-25T16:25:00Z</dcterms:created>
  <dcterms:modified xsi:type="dcterms:W3CDTF">2026-01-17T19:23:00Z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f21306e7-9dca-4a05-8290-80cb83e11055</vt:lpwstr>
  </property>
  <property fmtid="{D5CDD505-2E9C-101B-9397-08002B2CF9AE}" pid="4" name="MediaServiceImageTags">
    <vt:lpwstr/>
  </property>
</Properties>
</file>